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B7" w:rsidRDefault="00F002B7" w:rsidP="0024698D">
      <w:pPr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Health</w:t>
      </w:r>
      <w:r w:rsidR="00D13D2D">
        <w:rPr>
          <w:rFonts w:ascii="Arial" w:hAnsi="Arial" w:cs="Arial"/>
          <w:bCs/>
          <w:spacing w:val="-3"/>
          <w:sz w:val="22"/>
          <w:szCs w:val="22"/>
        </w:rPr>
        <w:t xml:space="preserve"> Legislation Amendment Bill 2015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Bill) amends various Health portfolio Acts to support the </w:t>
      </w:r>
      <w:r w:rsidR="00D13D2D">
        <w:rPr>
          <w:rFonts w:ascii="Arial" w:hAnsi="Arial" w:cs="Arial"/>
          <w:bCs/>
          <w:spacing w:val="-3"/>
          <w:sz w:val="22"/>
          <w:szCs w:val="22"/>
        </w:rPr>
        <w:t xml:space="preserve">implementation of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policy initiatives </w:t>
      </w:r>
      <w:r w:rsidR="00D13D2D">
        <w:rPr>
          <w:rFonts w:ascii="Arial" w:hAnsi="Arial" w:cs="Arial"/>
          <w:bCs/>
          <w:spacing w:val="-3"/>
          <w:sz w:val="22"/>
          <w:szCs w:val="22"/>
        </w:rPr>
        <w:t xml:space="preserve">to protect and improve the health of Queenslanders, and to improve </w:t>
      </w:r>
      <w:r>
        <w:rPr>
          <w:rFonts w:ascii="Arial" w:hAnsi="Arial" w:cs="Arial"/>
          <w:bCs/>
          <w:spacing w:val="-3"/>
          <w:sz w:val="22"/>
          <w:szCs w:val="22"/>
        </w:rPr>
        <w:t>operation of the relevant Acts.</w:t>
      </w:r>
    </w:p>
    <w:p w:rsidR="00F002B7" w:rsidRPr="00A527A5" w:rsidRDefault="00F002B7" w:rsidP="00F002B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particular, the Bill amends:</w:t>
      </w:r>
    </w:p>
    <w:p w:rsidR="00F002B7" w:rsidRPr="003F446D" w:rsidRDefault="001C7B97" w:rsidP="00F002B7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3F446D">
        <w:rPr>
          <w:rFonts w:ascii="Arial" w:hAnsi="Arial" w:cs="Arial"/>
          <w:sz w:val="22"/>
          <w:szCs w:val="22"/>
        </w:rPr>
        <w:t>the</w:t>
      </w:r>
      <w:r w:rsidRPr="003F446D">
        <w:rPr>
          <w:rFonts w:ascii="Arial" w:hAnsi="Arial" w:cs="Arial"/>
          <w:i/>
          <w:sz w:val="22"/>
          <w:szCs w:val="22"/>
        </w:rPr>
        <w:t xml:space="preserve"> </w:t>
      </w:r>
      <w:r w:rsidR="00D13D2D" w:rsidRPr="003F446D">
        <w:rPr>
          <w:rFonts w:ascii="Arial" w:hAnsi="Arial" w:cs="Arial"/>
          <w:i/>
          <w:sz w:val="22"/>
          <w:szCs w:val="22"/>
        </w:rPr>
        <w:t>Food Act 2006</w:t>
      </w:r>
      <w:r w:rsidR="00D13D2D" w:rsidRPr="003F446D">
        <w:rPr>
          <w:rFonts w:ascii="Arial" w:hAnsi="Arial" w:cs="Arial"/>
          <w:sz w:val="22"/>
          <w:szCs w:val="22"/>
        </w:rPr>
        <w:t xml:space="preserve"> to </w:t>
      </w:r>
      <w:r w:rsidRPr="003F446D">
        <w:rPr>
          <w:rFonts w:ascii="Arial" w:hAnsi="Arial" w:cs="Arial"/>
          <w:sz w:val="22"/>
          <w:szCs w:val="22"/>
        </w:rPr>
        <w:t xml:space="preserve">establish a statewide </w:t>
      </w:r>
      <w:r w:rsidR="00DF3FDA">
        <w:rPr>
          <w:rFonts w:ascii="Arial" w:hAnsi="Arial" w:cs="Arial"/>
          <w:sz w:val="22"/>
          <w:szCs w:val="22"/>
        </w:rPr>
        <w:t>menu labelling scheme</w:t>
      </w:r>
      <w:r w:rsidR="00860D72" w:rsidRPr="003F446D">
        <w:rPr>
          <w:rFonts w:ascii="Arial" w:hAnsi="Arial" w:cs="Arial"/>
          <w:sz w:val="22"/>
          <w:szCs w:val="22"/>
        </w:rPr>
        <w:t xml:space="preserve"> and to enable the chief executive of Queenslan</w:t>
      </w:r>
      <w:r w:rsidR="00AE3338" w:rsidRPr="003F446D">
        <w:rPr>
          <w:rFonts w:ascii="Arial" w:hAnsi="Arial" w:cs="Arial"/>
          <w:sz w:val="22"/>
          <w:szCs w:val="22"/>
        </w:rPr>
        <w:t xml:space="preserve">d Health to </w:t>
      </w:r>
      <w:r w:rsidR="00D116EA" w:rsidRPr="003F446D">
        <w:rPr>
          <w:rFonts w:ascii="Arial" w:hAnsi="Arial" w:cs="Arial"/>
          <w:sz w:val="22"/>
          <w:szCs w:val="22"/>
        </w:rPr>
        <w:t xml:space="preserve">authorise disclosure of </w:t>
      </w:r>
      <w:r w:rsidR="00AE3338" w:rsidRPr="003F446D">
        <w:rPr>
          <w:rFonts w:ascii="Arial" w:hAnsi="Arial" w:cs="Arial"/>
          <w:sz w:val="22"/>
          <w:szCs w:val="22"/>
        </w:rPr>
        <w:t xml:space="preserve">information </w:t>
      </w:r>
      <w:r w:rsidR="007475BB" w:rsidRPr="003F446D">
        <w:rPr>
          <w:rFonts w:ascii="Arial" w:hAnsi="Arial" w:cs="Arial"/>
          <w:sz w:val="22"/>
          <w:szCs w:val="22"/>
        </w:rPr>
        <w:t xml:space="preserve">relating to a food business </w:t>
      </w:r>
      <w:r w:rsidR="00860D72" w:rsidRPr="003F446D">
        <w:rPr>
          <w:rFonts w:ascii="Arial" w:hAnsi="Arial" w:cs="Arial"/>
          <w:sz w:val="22"/>
          <w:szCs w:val="22"/>
        </w:rPr>
        <w:t xml:space="preserve">where necessary </w:t>
      </w:r>
      <w:r w:rsidRPr="003F446D">
        <w:rPr>
          <w:rFonts w:ascii="Arial" w:hAnsi="Arial" w:cs="Arial"/>
          <w:sz w:val="22"/>
          <w:szCs w:val="22"/>
        </w:rPr>
        <w:t>for public health reasons</w:t>
      </w:r>
      <w:r w:rsidR="00F002B7" w:rsidRPr="003F446D">
        <w:rPr>
          <w:rFonts w:ascii="Arial" w:hAnsi="Arial" w:cs="Arial"/>
          <w:sz w:val="22"/>
          <w:szCs w:val="22"/>
        </w:rPr>
        <w:t>;</w:t>
      </w:r>
    </w:p>
    <w:p w:rsidR="00F002B7" w:rsidRPr="00860D72" w:rsidRDefault="001C7B97" w:rsidP="00F002B7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1C7B97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002B7">
        <w:rPr>
          <w:rFonts w:ascii="Arial" w:hAnsi="Arial" w:cs="Arial"/>
          <w:i/>
          <w:sz w:val="22"/>
          <w:szCs w:val="22"/>
        </w:rPr>
        <w:t>H</w:t>
      </w:r>
      <w:r w:rsidR="00D13D2D">
        <w:rPr>
          <w:rFonts w:ascii="Arial" w:hAnsi="Arial" w:cs="Arial"/>
          <w:i/>
          <w:sz w:val="22"/>
          <w:szCs w:val="22"/>
        </w:rPr>
        <w:t xml:space="preserve">ealth Ombudsman Act 2013 </w:t>
      </w:r>
      <w:r w:rsidR="00D13D2D">
        <w:rPr>
          <w:rFonts w:ascii="Arial" w:hAnsi="Arial" w:cs="Arial"/>
          <w:sz w:val="22"/>
          <w:szCs w:val="22"/>
        </w:rPr>
        <w:t>to</w:t>
      </w:r>
      <w:r w:rsidR="00860D72">
        <w:rPr>
          <w:rFonts w:ascii="Arial" w:hAnsi="Arial" w:cs="Arial"/>
          <w:sz w:val="22"/>
          <w:szCs w:val="22"/>
        </w:rPr>
        <w:t xml:space="preserve"> enable the Minister for Health and Minister for Ambulance Services to temporarily appoint persons to the public pane</w:t>
      </w:r>
      <w:r w:rsidR="00AE3338">
        <w:rPr>
          <w:rFonts w:ascii="Arial" w:hAnsi="Arial" w:cs="Arial"/>
          <w:sz w:val="22"/>
          <w:szCs w:val="22"/>
        </w:rPr>
        <w:t>l of assessors</w:t>
      </w:r>
      <w:r w:rsidR="00F002B7">
        <w:rPr>
          <w:rFonts w:ascii="Arial" w:hAnsi="Arial" w:cs="Arial"/>
          <w:sz w:val="22"/>
          <w:szCs w:val="22"/>
        </w:rPr>
        <w:t>;</w:t>
      </w:r>
    </w:p>
    <w:p w:rsidR="00860D72" w:rsidRPr="003F0B34" w:rsidRDefault="001C7B97" w:rsidP="00F002B7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1C7B97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60D72">
        <w:rPr>
          <w:rFonts w:ascii="Arial" w:hAnsi="Arial" w:cs="Arial"/>
          <w:i/>
          <w:sz w:val="22"/>
          <w:szCs w:val="22"/>
        </w:rPr>
        <w:t>Hospital and Health Boards Act 2011</w:t>
      </w:r>
      <w:r w:rsidR="00860D72">
        <w:rPr>
          <w:rFonts w:ascii="Arial" w:hAnsi="Arial" w:cs="Arial"/>
          <w:sz w:val="22"/>
          <w:szCs w:val="22"/>
        </w:rPr>
        <w:t xml:space="preserve"> to enable the Minister for Health and Minister for Ambulance Services to temporarily appoint persons to Hospital and Health Boards;</w:t>
      </w:r>
    </w:p>
    <w:p w:rsidR="00035705" w:rsidRPr="005E2EC0" w:rsidRDefault="001C7B97" w:rsidP="00035705">
      <w:pPr>
        <w:numPr>
          <w:ilvl w:val="0"/>
          <w:numId w:val="21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1C7B97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35705" w:rsidRPr="005E2EC0">
        <w:rPr>
          <w:rFonts w:ascii="Arial" w:hAnsi="Arial" w:cs="Arial"/>
          <w:i/>
          <w:sz w:val="22"/>
          <w:szCs w:val="22"/>
        </w:rPr>
        <w:t>Public Health Act 2005</w:t>
      </w:r>
      <w:r w:rsidR="00035705" w:rsidRPr="005E2EC0">
        <w:rPr>
          <w:rFonts w:ascii="Arial" w:hAnsi="Arial" w:cs="Arial"/>
          <w:sz w:val="22"/>
          <w:szCs w:val="22"/>
        </w:rPr>
        <w:t xml:space="preserve"> to</w:t>
      </w:r>
      <w:r w:rsidR="00860D72">
        <w:rPr>
          <w:rFonts w:ascii="Arial" w:hAnsi="Arial" w:cs="Arial"/>
          <w:sz w:val="22"/>
          <w:szCs w:val="22"/>
        </w:rPr>
        <w:t xml:space="preserve"> </w:t>
      </w:r>
      <w:r w:rsidR="00AE3338">
        <w:rPr>
          <w:rFonts w:ascii="Arial" w:hAnsi="Arial" w:cs="Arial"/>
          <w:sz w:val="22"/>
          <w:szCs w:val="22"/>
        </w:rPr>
        <w:t>streamline</w:t>
      </w:r>
      <w:r w:rsidR="00860D72">
        <w:rPr>
          <w:rFonts w:ascii="Arial" w:hAnsi="Arial" w:cs="Arial"/>
          <w:sz w:val="22"/>
          <w:szCs w:val="22"/>
        </w:rPr>
        <w:t xml:space="preserve"> the process for enabling registered midwives to access the Queensland Pap Smear Register</w:t>
      </w:r>
      <w:r w:rsidR="00F035B2">
        <w:rPr>
          <w:rFonts w:ascii="Arial" w:hAnsi="Arial" w:cs="Arial"/>
          <w:sz w:val="22"/>
          <w:szCs w:val="22"/>
        </w:rPr>
        <w:t>;</w:t>
      </w:r>
      <w:r w:rsidR="00035705" w:rsidRPr="005E2EC0">
        <w:rPr>
          <w:rFonts w:ascii="Arial" w:hAnsi="Arial" w:cs="Arial"/>
          <w:i/>
          <w:sz w:val="22"/>
          <w:szCs w:val="22"/>
        </w:rPr>
        <w:t xml:space="preserve"> </w:t>
      </w:r>
    </w:p>
    <w:p w:rsidR="00F002B7" w:rsidRDefault="001C7B97" w:rsidP="00F002B7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1C7B97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13D2D">
        <w:rPr>
          <w:rFonts w:ascii="Arial" w:hAnsi="Arial" w:cs="Arial"/>
          <w:i/>
          <w:sz w:val="22"/>
          <w:szCs w:val="22"/>
        </w:rPr>
        <w:t>Pest Management Act 2001</w:t>
      </w:r>
      <w:r w:rsidR="00AE3338">
        <w:rPr>
          <w:rFonts w:ascii="Arial" w:hAnsi="Arial" w:cs="Arial"/>
          <w:sz w:val="22"/>
          <w:szCs w:val="22"/>
        </w:rPr>
        <w:t xml:space="preserve"> to enable the chief executive of Queensland Health to delegate their powers </w:t>
      </w:r>
      <w:r w:rsidR="007475BB">
        <w:rPr>
          <w:rFonts w:ascii="Arial" w:hAnsi="Arial" w:cs="Arial"/>
          <w:sz w:val="22"/>
          <w:szCs w:val="22"/>
        </w:rPr>
        <w:t xml:space="preserve">under the Act, where permitted, </w:t>
      </w:r>
      <w:r w:rsidR="00AE3338">
        <w:rPr>
          <w:rFonts w:ascii="Arial" w:hAnsi="Arial" w:cs="Arial"/>
          <w:sz w:val="22"/>
          <w:szCs w:val="22"/>
        </w:rPr>
        <w:t xml:space="preserve">to </w:t>
      </w:r>
      <w:r w:rsidR="007475BB">
        <w:rPr>
          <w:rFonts w:ascii="Arial" w:hAnsi="Arial" w:cs="Arial"/>
          <w:sz w:val="22"/>
          <w:szCs w:val="22"/>
        </w:rPr>
        <w:t xml:space="preserve">qualified </w:t>
      </w:r>
      <w:r w:rsidR="00AE3338">
        <w:rPr>
          <w:rFonts w:ascii="Arial" w:hAnsi="Arial" w:cs="Arial"/>
          <w:sz w:val="22"/>
          <w:szCs w:val="22"/>
        </w:rPr>
        <w:t>employees of Hospital and Health Services</w:t>
      </w:r>
      <w:r w:rsidR="00F002B7">
        <w:rPr>
          <w:rFonts w:ascii="Arial" w:hAnsi="Arial" w:cs="Arial"/>
          <w:sz w:val="22"/>
          <w:szCs w:val="22"/>
        </w:rPr>
        <w:t>;</w:t>
      </w:r>
      <w:r w:rsidR="00E32DCD">
        <w:rPr>
          <w:rFonts w:ascii="Arial" w:hAnsi="Arial" w:cs="Arial"/>
          <w:sz w:val="22"/>
          <w:szCs w:val="22"/>
        </w:rPr>
        <w:t xml:space="preserve"> and</w:t>
      </w:r>
    </w:p>
    <w:p w:rsidR="00F002B7" w:rsidRDefault="001C7B97" w:rsidP="00F002B7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1C7B97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13D2D">
        <w:rPr>
          <w:rFonts w:ascii="Arial" w:hAnsi="Arial" w:cs="Arial"/>
          <w:i/>
          <w:sz w:val="22"/>
          <w:szCs w:val="22"/>
        </w:rPr>
        <w:t>Transplantation and Anatomy Act 1979</w:t>
      </w:r>
      <w:r w:rsidR="00D13D2D">
        <w:rPr>
          <w:rFonts w:ascii="Arial" w:hAnsi="Arial" w:cs="Arial"/>
          <w:sz w:val="22"/>
          <w:szCs w:val="22"/>
        </w:rPr>
        <w:t xml:space="preserve"> to </w:t>
      </w:r>
      <w:r w:rsidR="007475BB">
        <w:rPr>
          <w:rFonts w:ascii="Arial" w:hAnsi="Arial" w:cs="Arial"/>
          <w:sz w:val="22"/>
          <w:szCs w:val="22"/>
        </w:rPr>
        <w:t>clarify that the definition of ‘blood products’ under s</w:t>
      </w:r>
      <w:r w:rsidR="00DF3FDA">
        <w:rPr>
          <w:rFonts w:ascii="Arial" w:hAnsi="Arial" w:cs="Arial"/>
          <w:sz w:val="22"/>
          <w:szCs w:val="22"/>
        </w:rPr>
        <w:t xml:space="preserve">ection </w:t>
      </w:r>
      <w:r w:rsidR="007475BB">
        <w:rPr>
          <w:rFonts w:ascii="Arial" w:hAnsi="Arial" w:cs="Arial"/>
          <w:sz w:val="22"/>
          <w:szCs w:val="22"/>
        </w:rPr>
        <w:t>42AB does not include cord blood</w:t>
      </w:r>
      <w:r w:rsidR="00D13D2D">
        <w:rPr>
          <w:rFonts w:ascii="Arial" w:hAnsi="Arial" w:cs="Arial"/>
          <w:sz w:val="22"/>
          <w:szCs w:val="22"/>
        </w:rPr>
        <w:t>.</w:t>
      </w:r>
    </w:p>
    <w:p w:rsidR="00F002B7" w:rsidRPr="00CE6FBA" w:rsidRDefault="00F002B7" w:rsidP="00F002B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</w:t>
      </w:r>
      <w:r w:rsidR="00E32DCD">
        <w:rPr>
          <w:rFonts w:ascii="Arial" w:hAnsi="Arial" w:cs="Arial"/>
          <w:sz w:val="22"/>
          <w:szCs w:val="22"/>
        </w:rPr>
        <w:t xml:space="preserve">Health Legislation Amendment Bill 2015 </w:t>
      </w:r>
      <w:r>
        <w:rPr>
          <w:rFonts w:ascii="Arial" w:hAnsi="Arial" w:cs="Arial"/>
          <w:sz w:val="22"/>
          <w:szCs w:val="22"/>
        </w:rPr>
        <w:t>into the Legislative Assembly.</w:t>
      </w:r>
    </w:p>
    <w:p w:rsidR="00F002B7" w:rsidRPr="00C07656" w:rsidRDefault="00F002B7" w:rsidP="00F002B7">
      <w:pPr>
        <w:jc w:val="both"/>
        <w:rPr>
          <w:rFonts w:ascii="Arial" w:hAnsi="Arial" w:cs="Arial"/>
          <w:sz w:val="22"/>
          <w:szCs w:val="22"/>
        </w:rPr>
      </w:pPr>
    </w:p>
    <w:p w:rsidR="00F002B7" w:rsidRPr="00F002B7" w:rsidRDefault="00F002B7" w:rsidP="00E32DCD">
      <w:pPr>
        <w:keepNext/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011D0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002B7" w:rsidRDefault="006072A8" w:rsidP="00F002B7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F002B7" w:rsidRPr="00C427C0">
          <w:rPr>
            <w:rStyle w:val="Hyperlink"/>
            <w:rFonts w:ascii="Arial" w:hAnsi="Arial" w:cs="Arial"/>
            <w:sz w:val="22"/>
            <w:szCs w:val="22"/>
          </w:rPr>
          <w:t>Health</w:t>
        </w:r>
        <w:r w:rsidR="00D13D2D" w:rsidRPr="00C427C0">
          <w:rPr>
            <w:rStyle w:val="Hyperlink"/>
            <w:rFonts w:ascii="Arial" w:hAnsi="Arial" w:cs="Arial"/>
            <w:sz w:val="22"/>
            <w:szCs w:val="22"/>
          </w:rPr>
          <w:t xml:space="preserve"> Legislation Amendment Bill 2015</w:t>
        </w:r>
      </w:hyperlink>
    </w:p>
    <w:p w:rsidR="00A06381" w:rsidRPr="00B011D0" w:rsidRDefault="006072A8" w:rsidP="00B011D0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F002B7" w:rsidRPr="00C427C0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A06381" w:rsidRPr="00B011D0" w:rsidSect="00B011D0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B29" w:rsidRDefault="00213B29">
      <w:r>
        <w:separator/>
      </w:r>
    </w:p>
  </w:endnote>
  <w:endnote w:type="continuationSeparator" w:id="0">
    <w:p w:rsidR="00213B29" w:rsidRDefault="0021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B29" w:rsidRDefault="00213B29">
      <w:r>
        <w:separator/>
      </w:r>
    </w:p>
  </w:footnote>
  <w:footnote w:type="continuationSeparator" w:id="0">
    <w:p w:rsidR="00213B29" w:rsidRDefault="00213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1D0" w:rsidRPr="00D75134" w:rsidRDefault="00B011D0" w:rsidP="00B011D0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B011D0" w:rsidRPr="00D75134" w:rsidRDefault="00B011D0" w:rsidP="00B011D0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B011D0" w:rsidRPr="001E209B" w:rsidRDefault="00B011D0" w:rsidP="00B011D0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November 2015</w:t>
    </w:r>
  </w:p>
  <w:p w:rsidR="00B011D0" w:rsidRDefault="00B011D0" w:rsidP="00B011D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Health Legislation Amendment Bill 2015</w:t>
    </w:r>
  </w:p>
  <w:p w:rsidR="00B011D0" w:rsidRDefault="00B011D0" w:rsidP="00B011D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:rsidR="00B011D0" w:rsidRDefault="00B011D0" w:rsidP="00B011D0">
    <w:pPr>
      <w:pStyle w:val="Header"/>
      <w:pBdr>
        <w:bottom w:val="single" w:sz="4" w:space="1" w:color="auto"/>
      </w:pBdr>
    </w:pPr>
  </w:p>
  <w:p w:rsidR="00B011D0" w:rsidRPr="00135D6D" w:rsidRDefault="00B011D0" w:rsidP="00B011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1F1585"/>
    <w:multiLevelType w:val="multilevel"/>
    <w:tmpl w:val="43406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C0B0AD7"/>
    <w:multiLevelType w:val="hybridMultilevel"/>
    <w:tmpl w:val="1BB66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0CC3A12"/>
    <w:multiLevelType w:val="hybridMultilevel"/>
    <w:tmpl w:val="0434A712"/>
    <w:lvl w:ilvl="0" w:tplc="8EE8BC8E">
      <w:start w:val="1"/>
      <w:numFmt w:val="decimal"/>
      <w:lvlText w:val="ATTACHMENT %1: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55130200"/>
    <w:multiLevelType w:val="hybridMultilevel"/>
    <w:tmpl w:val="DC4AC384"/>
    <w:lvl w:ilvl="0" w:tplc="BD06452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16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C7F0492"/>
    <w:multiLevelType w:val="multilevel"/>
    <w:tmpl w:val="71CA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2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1"/>
  </w:num>
  <w:num w:numId="4">
    <w:abstractNumId w:val="15"/>
  </w:num>
  <w:num w:numId="5">
    <w:abstractNumId w:val="3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20"/>
  </w:num>
  <w:num w:numId="14">
    <w:abstractNumId w:val="5"/>
  </w:num>
  <w:num w:numId="15">
    <w:abstractNumId w:val="4"/>
  </w:num>
  <w:num w:numId="16">
    <w:abstractNumId w:val="14"/>
  </w:num>
  <w:num w:numId="17">
    <w:abstractNumId w:val="18"/>
  </w:num>
  <w:num w:numId="18">
    <w:abstractNumId w:val="19"/>
  </w:num>
  <w:num w:numId="19">
    <w:abstractNumId w:val="11"/>
  </w:num>
  <w:num w:numId="20">
    <w:abstractNumId w:val="23"/>
  </w:num>
  <w:num w:numId="21">
    <w:abstractNumId w:val="22"/>
  </w:num>
  <w:num w:numId="22">
    <w:abstractNumId w:val="6"/>
  </w:num>
  <w:num w:numId="23">
    <w:abstractNumId w:val="13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23"/>
    <w:rsid w:val="00014AB8"/>
    <w:rsid w:val="00021188"/>
    <w:rsid w:val="00027113"/>
    <w:rsid w:val="00035705"/>
    <w:rsid w:val="000400F9"/>
    <w:rsid w:val="00041A0F"/>
    <w:rsid w:val="000430DD"/>
    <w:rsid w:val="00044F61"/>
    <w:rsid w:val="000526D3"/>
    <w:rsid w:val="00066D93"/>
    <w:rsid w:val="00070A40"/>
    <w:rsid w:val="000924FD"/>
    <w:rsid w:val="0009634A"/>
    <w:rsid w:val="000A1D7D"/>
    <w:rsid w:val="000A2BAC"/>
    <w:rsid w:val="000A6E5D"/>
    <w:rsid w:val="000C15F5"/>
    <w:rsid w:val="000C2437"/>
    <w:rsid w:val="000C7639"/>
    <w:rsid w:val="000D05D6"/>
    <w:rsid w:val="000E3F6A"/>
    <w:rsid w:val="000F0DB5"/>
    <w:rsid w:val="000F21F9"/>
    <w:rsid w:val="000F680A"/>
    <w:rsid w:val="001010F3"/>
    <w:rsid w:val="001141E1"/>
    <w:rsid w:val="001227DD"/>
    <w:rsid w:val="00123E0E"/>
    <w:rsid w:val="00124FE2"/>
    <w:rsid w:val="00126CC9"/>
    <w:rsid w:val="00135D6D"/>
    <w:rsid w:val="001376CE"/>
    <w:rsid w:val="00140936"/>
    <w:rsid w:val="00144370"/>
    <w:rsid w:val="00144862"/>
    <w:rsid w:val="0014649D"/>
    <w:rsid w:val="0015685D"/>
    <w:rsid w:val="00156C19"/>
    <w:rsid w:val="00160971"/>
    <w:rsid w:val="001622E3"/>
    <w:rsid w:val="0016461A"/>
    <w:rsid w:val="0017740C"/>
    <w:rsid w:val="0017782F"/>
    <w:rsid w:val="00182E54"/>
    <w:rsid w:val="00190C8E"/>
    <w:rsid w:val="001B5837"/>
    <w:rsid w:val="001C350C"/>
    <w:rsid w:val="001C7B97"/>
    <w:rsid w:val="001D5A2D"/>
    <w:rsid w:val="001D5F1F"/>
    <w:rsid w:val="001E209B"/>
    <w:rsid w:val="001E5583"/>
    <w:rsid w:val="001E6C9A"/>
    <w:rsid w:val="002076A3"/>
    <w:rsid w:val="0021344B"/>
    <w:rsid w:val="00213B29"/>
    <w:rsid w:val="00216296"/>
    <w:rsid w:val="002266A8"/>
    <w:rsid w:val="00227D1E"/>
    <w:rsid w:val="00240160"/>
    <w:rsid w:val="00242B09"/>
    <w:rsid w:val="0024698D"/>
    <w:rsid w:val="00255A00"/>
    <w:rsid w:val="00273B58"/>
    <w:rsid w:val="00294F96"/>
    <w:rsid w:val="002971C2"/>
    <w:rsid w:val="002A6FC7"/>
    <w:rsid w:val="002B5574"/>
    <w:rsid w:val="002C07C8"/>
    <w:rsid w:val="002C29EC"/>
    <w:rsid w:val="002E58D6"/>
    <w:rsid w:val="002E5AA0"/>
    <w:rsid w:val="002F7590"/>
    <w:rsid w:val="003024B9"/>
    <w:rsid w:val="0031208A"/>
    <w:rsid w:val="0032140C"/>
    <w:rsid w:val="003243E0"/>
    <w:rsid w:val="00330878"/>
    <w:rsid w:val="0033391A"/>
    <w:rsid w:val="00340EF2"/>
    <w:rsid w:val="00355608"/>
    <w:rsid w:val="003737C1"/>
    <w:rsid w:val="00391750"/>
    <w:rsid w:val="003927E5"/>
    <w:rsid w:val="003A4AA8"/>
    <w:rsid w:val="003B094B"/>
    <w:rsid w:val="003B5871"/>
    <w:rsid w:val="003C5050"/>
    <w:rsid w:val="003C71CD"/>
    <w:rsid w:val="003D2408"/>
    <w:rsid w:val="003E2D89"/>
    <w:rsid w:val="003F446D"/>
    <w:rsid w:val="00412A34"/>
    <w:rsid w:val="004149B9"/>
    <w:rsid w:val="00420320"/>
    <w:rsid w:val="00426D0F"/>
    <w:rsid w:val="0044424E"/>
    <w:rsid w:val="00444DCF"/>
    <w:rsid w:val="00464036"/>
    <w:rsid w:val="00476361"/>
    <w:rsid w:val="00476A64"/>
    <w:rsid w:val="004B6BEE"/>
    <w:rsid w:val="004B751F"/>
    <w:rsid w:val="004C5933"/>
    <w:rsid w:val="004C65A5"/>
    <w:rsid w:val="004D201D"/>
    <w:rsid w:val="004D7050"/>
    <w:rsid w:val="004E3AE1"/>
    <w:rsid w:val="004E3BC5"/>
    <w:rsid w:val="004E501D"/>
    <w:rsid w:val="004F0CB6"/>
    <w:rsid w:val="00502BA9"/>
    <w:rsid w:val="0052050A"/>
    <w:rsid w:val="00527730"/>
    <w:rsid w:val="005425AB"/>
    <w:rsid w:val="005577AB"/>
    <w:rsid w:val="00583FC7"/>
    <w:rsid w:val="005D5BB9"/>
    <w:rsid w:val="005E428B"/>
    <w:rsid w:val="005E7616"/>
    <w:rsid w:val="005E7C61"/>
    <w:rsid w:val="006072A8"/>
    <w:rsid w:val="00635DE2"/>
    <w:rsid w:val="0064268C"/>
    <w:rsid w:val="00656393"/>
    <w:rsid w:val="0066340C"/>
    <w:rsid w:val="0066421E"/>
    <w:rsid w:val="00667828"/>
    <w:rsid w:val="0067667D"/>
    <w:rsid w:val="006A3D81"/>
    <w:rsid w:val="006B08C4"/>
    <w:rsid w:val="006E25A6"/>
    <w:rsid w:val="006F4423"/>
    <w:rsid w:val="006F7B5F"/>
    <w:rsid w:val="007050E6"/>
    <w:rsid w:val="00742804"/>
    <w:rsid w:val="00745F4C"/>
    <w:rsid w:val="007475BB"/>
    <w:rsid w:val="00761EEB"/>
    <w:rsid w:val="007653EB"/>
    <w:rsid w:val="00782539"/>
    <w:rsid w:val="0078430B"/>
    <w:rsid w:val="0079498D"/>
    <w:rsid w:val="00795162"/>
    <w:rsid w:val="007B178B"/>
    <w:rsid w:val="007B6771"/>
    <w:rsid w:val="007C5B4B"/>
    <w:rsid w:val="007C6505"/>
    <w:rsid w:val="007D5103"/>
    <w:rsid w:val="007D5192"/>
    <w:rsid w:val="007F46E4"/>
    <w:rsid w:val="00800574"/>
    <w:rsid w:val="00827746"/>
    <w:rsid w:val="00832489"/>
    <w:rsid w:val="00834946"/>
    <w:rsid w:val="00842FBD"/>
    <w:rsid w:val="00860D72"/>
    <w:rsid w:val="00862C15"/>
    <w:rsid w:val="00867427"/>
    <w:rsid w:val="00870321"/>
    <w:rsid w:val="00895B1C"/>
    <w:rsid w:val="008A3F6F"/>
    <w:rsid w:val="008A4523"/>
    <w:rsid w:val="008E421C"/>
    <w:rsid w:val="008F44CD"/>
    <w:rsid w:val="0090137E"/>
    <w:rsid w:val="0090282F"/>
    <w:rsid w:val="00903510"/>
    <w:rsid w:val="00910375"/>
    <w:rsid w:val="00911F6B"/>
    <w:rsid w:val="00915B8A"/>
    <w:rsid w:val="009175A7"/>
    <w:rsid w:val="00930537"/>
    <w:rsid w:val="00932FA5"/>
    <w:rsid w:val="009330C7"/>
    <w:rsid w:val="009342A1"/>
    <w:rsid w:val="00934403"/>
    <w:rsid w:val="0094685D"/>
    <w:rsid w:val="0095036A"/>
    <w:rsid w:val="009519BB"/>
    <w:rsid w:val="009551A2"/>
    <w:rsid w:val="009566B7"/>
    <w:rsid w:val="0096001A"/>
    <w:rsid w:val="00964A2F"/>
    <w:rsid w:val="009653D1"/>
    <w:rsid w:val="009A0DF2"/>
    <w:rsid w:val="009A3B69"/>
    <w:rsid w:val="009D3131"/>
    <w:rsid w:val="009E1AD3"/>
    <w:rsid w:val="009E4DC1"/>
    <w:rsid w:val="009F2656"/>
    <w:rsid w:val="009F4298"/>
    <w:rsid w:val="009F5F9B"/>
    <w:rsid w:val="00A06381"/>
    <w:rsid w:val="00A1274B"/>
    <w:rsid w:val="00A159BA"/>
    <w:rsid w:val="00A17ED0"/>
    <w:rsid w:val="00A369DE"/>
    <w:rsid w:val="00A41443"/>
    <w:rsid w:val="00A420D3"/>
    <w:rsid w:val="00A45816"/>
    <w:rsid w:val="00A527A5"/>
    <w:rsid w:val="00A67675"/>
    <w:rsid w:val="00A70444"/>
    <w:rsid w:val="00A72BCB"/>
    <w:rsid w:val="00A75633"/>
    <w:rsid w:val="00A963DE"/>
    <w:rsid w:val="00AA3309"/>
    <w:rsid w:val="00AA62F2"/>
    <w:rsid w:val="00AB5421"/>
    <w:rsid w:val="00AB6F21"/>
    <w:rsid w:val="00AC7559"/>
    <w:rsid w:val="00AD6552"/>
    <w:rsid w:val="00AE3338"/>
    <w:rsid w:val="00AF610D"/>
    <w:rsid w:val="00B011D0"/>
    <w:rsid w:val="00B0525E"/>
    <w:rsid w:val="00B07FA6"/>
    <w:rsid w:val="00B2374C"/>
    <w:rsid w:val="00B35060"/>
    <w:rsid w:val="00B377F3"/>
    <w:rsid w:val="00B605B9"/>
    <w:rsid w:val="00B60F74"/>
    <w:rsid w:val="00B73CA4"/>
    <w:rsid w:val="00B861ED"/>
    <w:rsid w:val="00B958E7"/>
    <w:rsid w:val="00B97FB4"/>
    <w:rsid w:val="00BB1AFC"/>
    <w:rsid w:val="00BB5314"/>
    <w:rsid w:val="00BC21AA"/>
    <w:rsid w:val="00BD5C1A"/>
    <w:rsid w:val="00BD7E0D"/>
    <w:rsid w:val="00BE1E29"/>
    <w:rsid w:val="00BE346E"/>
    <w:rsid w:val="00BE5B84"/>
    <w:rsid w:val="00BF35DF"/>
    <w:rsid w:val="00BF46CA"/>
    <w:rsid w:val="00C0535B"/>
    <w:rsid w:val="00C07656"/>
    <w:rsid w:val="00C14FB2"/>
    <w:rsid w:val="00C16E01"/>
    <w:rsid w:val="00C17E3B"/>
    <w:rsid w:val="00C30A86"/>
    <w:rsid w:val="00C31326"/>
    <w:rsid w:val="00C427C0"/>
    <w:rsid w:val="00C44A05"/>
    <w:rsid w:val="00C51F18"/>
    <w:rsid w:val="00C62E9C"/>
    <w:rsid w:val="00C84211"/>
    <w:rsid w:val="00C91283"/>
    <w:rsid w:val="00CA252B"/>
    <w:rsid w:val="00CA355F"/>
    <w:rsid w:val="00CA3EEB"/>
    <w:rsid w:val="00CB3CF8"/>
    <w:rsid w:val="00CB44E7"/>
    <w:rsid w:val="00CC0A18"/>
    <w:rsid w:val="00CC63BB"/>
    <w:rsid w:val="00CD2E02"/>
    <w:rsid w:val="00CD5139"/>
    <w:rsid w:val="00CE6FBA"/>
    <w:rsid w:val="00CF16CB"/>
    <w:rsid w:val="00D116EA"/>
    <w:rsid w:val="00D13D2D"/>
    <w:rsid w:val="00D5111A"/>
    <w:rsid w:val="00D6489A"/>
    <w:rsid w:val="00D71185"/>
    <w:rsid w:val="00D740A8"/>
    <w:rsid w:val="00D7440B"/>
    <w:rsid w:val="00D75121"/>
    <w:rsid w:val="00D75134"/>
    <w:rsid w:val="00D82051"/>
    <w:rsid w:val="00D837D2"/>
    <w:rsid w:val="00D84B5E"/>
    <w:rsid w:val="00D91EA6"/>
    <w:rsid w:val="00D96412"/>
    <w:rsid w:val="00DA4D47"/>
    <w:rsid w:val="00DA6C5D"/>
    <w:rsid w:val="00DB1B46"/>
    <w:rsid w:val="00DB6FE7"/>
    <w:rsid w:val="00DD06E1"/>
    <w:rsid w:val="00DD1780"/>
    <w:rsid w:val="00DD6BA7"/>
    <w:rsid w:val="00DE2A72"/>
    <w:rsid w:val="00DE61EC"/>
    <w:rsid w:val="00DE73D5"/>
    <w:rsid w:val="00DF08D6"/>
    <w:rsid w:val="00DF2E2C"/>
    <w:rsid w:val="00DF3FDA"/>
    <w:rsid w:val="00DF69A7"/>
    <w:rsid w:val="00E06DFB"/>
    <w:rsid w:val="00E11CCA"/>
    <w:rsid w:val="00E129B6"/>
    <w:rsid w:val="00E317C3"/>
    <w:rsid w:val="00E32DCD"/>
    <w:rsid w:val="00E34327"/>
    <w:rsid w:val="00E464DD"/>
    <w:rsid w:val="00E47F1D"/>
    <w:rsid w:val="00E539DE"/>
    <w:rsid w:val="00E814F1"/>
    <w:rsid w:val="00E836BF"/>
    <w:rsid w:val="00E84E0F"/>
    <w:rsid w:val="00E91944"/>
    <w:rsid w:val="00EB074A"/>
    <w:rsid w:val="00EC026F"/>
    <w:rsid w:val="00EC0396"/>
    <w:rsid w:val="00EC3D68"/>
    <w:rsid w:val="00EC789A"/>
    <w:rsid w:val="00ED29FB"/>
    <w:rsid w:val="00ED7DA6"/>
    <w:rsid w:val="00EE23E9"/>
    <w:rsid w:val="00EE25B4"/>
    <w:rsid w:val="00EF6F0B"/>
    <w:rsid w:val="00F002B7"/>
    <w:rsid w:val="00F023B9"/>
    <w:rsid w:val="00F031F4"/>
    <w:rsid w:val="00F035B2"/>
    <w:rsid w:val="00F04337"/>
    <w:rsid w:val="00F10DF9"/>
    <w:rsid w:val="00F25FA5"/>
    <w:rsid w:val="00F333F5"/>
    <w:rsid w:val="00F470A4"/>
    <w:rsid w:val="00F515D3"/>
    <w:rsid w:val="00F561A5"/>
    <w:rsid w:val="00F679C1"/>
    <w:rsid w:val="00F822D6"/>
    <w:rsid w:val="00F84EFB"/>
    <w:rsid w:val="00F86DDF"/>
    <w:rsid w:val="00F93C82"/>
    <w:rsid w:val="00F96D52"/>
    <w:rsid w:val="00FA33B7"/>
    <w:rsid w:val="00FA5D71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EB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EEB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010F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010F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010F3"/>
    <w:rPr>
      <w:rFonts w:ascii="Cambria" w:hAnsi="Cambri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CA3EEB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character" w:styleId="PageNumber">
    <w:name w:val="page number"/>
    <w:uiPriority w:val="99"/>
    <w:rsid w:val="00CA3E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3EE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F0CB6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E2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10F3"/>
    <w:rPr>
      <w:rFonts w:cs="Times New Roman"/>
      <w:color w:val="000000"/>
      <w:sz w:val="2"/>
    </w:rPr>
  </w:style>
  <w:style w:type="paragraph" w:customStyle="1" w:styleId="11">
    <w:name w:val="1(1)"/>
    <w:uiPriority w:val="99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4685D"/>
    <w:rPr>
      <w:color w:val="auto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99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C313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1326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3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010F3"/>
    <w:rPr>
      <w:rFonts w:cs="Times New Roman"/>
      <w:b/>
      <w:bCs/>
      <w:color w:val="000000"/>
      <w:sz w:val="20"/>
      <w:szCs w:val="20"/>
    </w:rPr>
  </w:style>
  <w:style w:type="character" w:styleId="Hyperlink">
    <w:name w:val="Hyperlink"/>
    <w:uiPriority w:val="99"/>
    <w:rsid w:val="00227D1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1279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1506</CharactersWithSpaces>
  <SharedDoc>false</SharedDoc>
  <HyperlinkBase>https://www.cabinet.qld.gov.au/documents/2015/Nov/HealthBill/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2015-12-14T04:40:00Z</cp:lastPrinted>
  <dcterms:created xsi:type="dcterms:W3CDTF">2017-10-25T01:34:00Z</dcterms:created>
  <dcterms:modified xsi:type="dcterms:W3CDTF">2018-03-06T01:30:00Z</dcterms:modified>
  <cp:category>Health,Legislation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